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9" w:rsidRDefault="00C55816" w:rsidP="000A4754">
      <w:pPr>
        <w:spacing w:before="203" w:after="120" w:line="274" w:lineRule="exact"/>
        <w:jc w:val="center"/>
        <w:textAlignment w:val="baseline"/>
        <w:rPr>
          <w:rFonts w:eastAsia="Times New Roman"/>
          <w:b/>
          <w:color w:val="000000"/>
          <w:sz w:val="23"/>
        </w:rPr>
      </w:pPr>
      <w:r>
        <w:rPr>
          <w:rFonts w:eastAsia="Times New Roman"/>
          <w:b/>
          <w:color w:val="000000"/>
          <w:sz w:val="23"/>
        </w:rPr>
        <w:t xml:space="preserve">Notification </w:t>
      </w:r>
      <w:r w:rsidR="00060208">
        <w:rPr>
          <w:rFonts w:eastAsia="Times New Roman"/>
          <w:b/>
          <w:color w:val="000000"/>
          <w:sz w:val="23"/>
        </w:rPr>
        <w:t>Regarding Facilitated Informal Resolution</w:t>
      </w:r>
    </w:p>
    <w:p w:rsidR="001A567C" w:rsidRPr="005E52AA" w:rsidRDefault="0028290B">
      <w:pPr>
        <w:spacing w:before="177" w:line="272" w:lineRule="exact"/>
        <w:textAlignment w:val="baseline"/>
        <w:rPr>
          <w:rFonts w:eastAsia="Times New Roman"/>
          <w:color w:val="000000"/>
          <w:spacing w:val="-1"/>
          <w:sz w:val="23"/>
        </w:rPr>
      </w:pPr>
      <w:r w:rsidRPr="005E52AA">
        <w:rPr>
          <w:rFonts w:eastAsia="Times New Roman"/>
          <w:color w:val="000000"/>
          <w:spacing w:val="-1"/>
          <w:sz w:val="23"/>
        </w:rPr>
        <w:t xml:space="preserve">Complaint No. </w:t>
      </w:r>
      <w:r w:rsidR="001A567C" w:rsidRPr="005E52AA">
        <w:rPr>
          <w:rFonts w:eastAsia="Times New Roman"/>
          <w:color w:val="000000"/>
          <w:spacing w:val="-1"/>
          <w:sz w:val="23"/>
        </w:rPr>
        <w:t>__________</w:t>
      </w:r>
      <w:r w:rsidR="005E52AA" w:rsidRPr="005E52AA">
        <w:rPr>
          <w:rFonts w:eastAsia="Times New Roman"/>
          <w:color w:val="000000"/>
          <w:spacing w:val="-1"/>
          <w:sz w:val="23"/>
        </w:rPr>
        <w:t>_</w:t>
      </w:r>
      <w:r w:rsidR="001A567C" w:rsidRPr="005E52AA">
        <w:rPr>
          <w:rFonts w:eastAsia="Times New Roman"/>
          <w:color w:val="000000"/>
          <w:spacing w:val="-1"/>
          <w:sz w:val="23"/>
        </w:rPr>
        <w:t>_____</w:t>
      </w:r>
    </w:p>
    <w:p w:rsidR="000A4754" w:rsidRPr="005E52AA" w:rsidRDefault="007F6FA9" w:rsidP="000A4754">
      <w:pPr>
        <w:spacing w:before="177" w:after="120" w:line="272" w:lineRule="exact"/>
        <w:textAlignment w:val="baseline"/>
        <w:rPr>
          <w:rFonts w:eastAsia="Times New Roman"/>
          <w:color w:val="000000"/>
          <w:spacing w:val="-1"/>
          <w:sz w:val="23"/>
        </w:rPr>
      </w:pPr>
      <w:r w:rsidRPr="005E52AA">
        <w:rPr>
          <w:rFonts w:eastAsia="Times New Roman"/>
          <w:color w:val="000000"/>
          <w:spacing w:val="-1"/>
          <w:sz w:val="23"/>
        </w:rPr>
        <w:t>Date: _______________________</w:t>
      </w:r>
    </w:p>
    <w:p w:rsidR="009B265D" w:rsidRPr="005E52AA" w:rsidRDefault="009B265D" w:rsidP="00060208">
      <w:pPr>
        <w:spacing w:before="162" w:line="282" w:lineRule="exact"/>
        <w:jc w:val="both"/>
        <w:textAlignment w:val="baseline"/>
        <w:rPr>
          <w:rFonts w:eastAsia="Times New Roman"/>
          <w:color w:val="000000"/>
          <w:sz w:val="23"/>
        </w:rPr>
      </w:pPr>
      <w:r w:rsidRPr="005E52AA">
        <w:rPr>
          <w:rFonts w:eastAsia="Times New Roman"/>
          <w:color w:val="000000"/>
          <w:sz w:val="23"/>
        </w:rPr>
        <w:t>To all parties and advisors:</w:t>
      </w:r>
    </w:p>
    <w:p w:rsidR="00060208" w:rsidRDefault="00060208" w:rsidP="00060208">
      <w:pPr>
        <w:spacing w:before="423" w:line="265" w:lineRule="exact"/>
        <w:jc w:val="both"/>
        <w:textAlignment w:val="baseline"/>
        <w:rPr>
          <w:rFonts w:eastAsia="Times New Roman"/>
          <w:color w:val="000000"/>
          <w:spacing w:val="-2"/>
          <w:sz w:val="23"/>
        </w:rPr>
      </w:pPr>
      <w:r>
        <w:rPr>
          <w:rFonts w:eastAsia="Times New Roman"/>
          <w:color w:val="000000"/>
          <w:spacing w:val="-2"/>
          <w:sz w:val="23"/>
        </w:rPr>
        <w:t xml:space="preserve">The District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the District may not require the parties to participate in an informal resolution process under this section and may not offer an informal resolution process unless a formal complaint </w:t>
      </w:r>
      <w:proofErr w:type="gramStart"/>
      <w:r>
        <w:rPr>
          <w:rFonts w:eastAsia="Times New Roman"/>
          <w:color w:val="000000"/>
          <w:spacing w:val="-2"/>
          <w:sz w:val="23"/>
        </w:rPr>
        <w:t>is filed</w:t>
      </w:r>
      <w:proofErr w:type="gramEnd"/>
      <w:r>
        <w:rPr>
          <w:rFonts w:eastAsia="Times New Roman"/>
          <w:color w:val="000000"/>
          <w:spacing w:val="-2"/>
          <w:sz w:val="23"/>
        </w:rPr>
        <w:t>. However, at any time prior to reaching a determination regarding responsibility the District may facilitate an informal resolution process, such as mediation, that does not involve a full investigation and adjudication, provided that the District:</w:t>
      </w:r>
    </w:p>
    <w:p w:rsidR="00060208" w:rsidRDefault="00060208" w:rsidP="00060208">
      <w:pPr>
        <w:numPr>
          <w:ilvl w:val="0"/>
          <w:numId w:val="7"/>
        </w:numPr>
        <w:tabs>
          <w:tab w:val="clear" w:pos="648"/>
          <w:tab w:val="left" w:pos="1368"/>
        </w:tabs>
        <w:spacing w:before="165" w:line="264" w:lineRule="exact"/>
        <w:ind w:left="1368" w:hanging="648"/>
        <w:jc w:val="both"/>
        <w:textAlignment w:val="baseline"/>
        <w:rPr>
          <w:rFonts w:eastAsia="Times New Roman"/>
          <w:color w:val="000000"/>
          <w:spacing w:val="-3"/>
          <w:sz w:val="23"/>
        </w:rPr>
      </w:pPr>
      <w:r>
        <w:rPr>
          <w:rFonts w:eastAsia="Times New Roman"/>
          <w:color w:val="000000"/>
          <w:spacing w:val="-3"/>
          <w:sz w:val="23"/>
        </w:rPr>
        <w:t>Provides to the parties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p>
    <w:p w:rsidR="00060208" w:rsidRDefault="00060208" w:rsidP="00060208">
      <w:pPr>
        <w:numPr>
          <w:ilvl w:val="0"/>
          <w:numId w:val="7"/>
        </w:numPr>
        <w:tabs>
          <w:tab w:val="clear" w:pos="648"/>
          <w:tab w:val="left" w:pos="1368"/>
        </w:tabs>
        <w:spacing w:before="273" w:line="259" w:lineRule="exact"/>
        <w:ind w:left="1368" w:hanging="648"/>
        <w:jc w:val="both"/>
        <w:textAlignment w:val="baseline"/>
        <w:rPr>
          <w:rFonts w:eastAsia="Times New Roman"/>
          <w:color w:val="000000"/>
          <w:sz w:val="23"/>
        </w:rPr>
      </w:pPr>
      <w:r>
        <w:rPr>
          <w:rFonts w:eastAsia="Times New Roman"/>
          <w:color w:val="000000"/>
          <w:sz w:val="23"/>
        </w:rPr>
        <w:t>Obtains the parties' voluntary, written consent to the informal resolution process; and</w:t>
      </w:r>
    </w:p>
    <w:p w:rsidR="00060208" w:rsidRDefault="00060208" w:rsidP="00060208">
      <w:pPr>
        <w:numPr>
          <w:ilvl w:val="0"/>
          <w:numId w:val="7"/>
        </w:numPr>
        <w:tabs>
          <w:tab w:val="clear" w:pos="648"/>
          <w:tab w:val="left" w:pos="1368"/>
        </w:tabs>
        <w:spacing w:before="276" w:line="265" w:lineRule="exact"/>
        <w:ind w:left="1368" w:hanging="648"/>
        <w:jc w:val="both"/>
        <w:textAlignment w:val="baseline"/>
        <w:rPr>
          <w:rFonts w:eastAsia="Times New Roman"/>
          <w:color w:val="000000"/>
          <w:sz w:val="23"/>
        </w:rPr>
      </w:pPr>
      <w:r>
        <w:rPr>
          <w:rFonts w:eastAsia="Times New Roman"/>
          <w:color w:val="000000"/>
          <w:sz w:val="23"/>
        </w:rPr>
        <w:t>Does not offer or facilitate an informal resolution process to resolve allegations that an employee sexually harassed a student.</w:t>
      </w:r>
    </w:p>
    <w:p w:rsidR="00060208" w:rsidRDefault="00060208" w:rsidP="00A442B7">
      <w:pPr>
        <w:spacing w:before="162" w:after="200" w:line="282" w:lineRule="exact"/>
        <w:jc w:val="both"/>
        <w:textAlignment w:val="baseline"/>
        <w:rPr>
          <w:rFonts w:eastAsia="Times New Roman"/>
          <w:color w:val="000000"/>
          <w:sz w:val="23"/>
        </w:rPr>
      </w:pPr>
      <w:r>
        <w:rPr>
          <w:rFonts w:eastAsia="Times New Roman"/>
          <w:color w:val="000000"/>
          <w:sz w:val="23"/>
        </w:rPr>
        <w:t>The allegations are:</w:t>
      </w:r>
    </w:p>
    <w:p w:rsidR="00060208" w:rsidRPr="005E52AA" w:rsidRDefault="00060208" w:rsidP="00060208">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Default="00060208" w:rsidP="00A442B7">
      <w:pPr>
        <w:spacing w:before="162" w:after="200" w:line="282" w:lineRule="exact"/>
        <w:jc w:val="both"/>
        <w:textAlignment w:val="baseline"/>
        <w:rPr>
          <w:rFonts w:eastAsia="Times New Roman"/>
          <w:color w:val="000000"/>
          <w:sz w:val="23"/>
        </w:rPr>
      </w:pPr>
    </w:p>
    <w:p w:rsidR="00060208" w:rsidRDefault="00060208" w:rsidP="00A442B7">
      <w:pPr>
        <w:spacing w:before="162" w:after="200" w:line="282" w:lineRule="exact"/>
        <w:jc w:val="both"/>
        <w:textAlignment w:val="baseline"/>
        <w:rPr>
          <w:rFonts w:eastAsia="Times New Roman"/>
          <w:color w:val="000000"/>
          <w:sz w:val="23"/>
        </w:rPr>
      </w:pPr>
    </w:p>
    <w:p w:rsidR="00060208" w:rsidRDefault="00060208" w:rsidP="00A442B7">
      <w:pPr>
        <w:spacing w:before="162" w:after="200" w:line="282" w:lineRule="exact"/>
        <w:jc w:val="both"/>
        <w:textAlignment w:val="baseline"/>
        <w:rPr>
          <w:rFonts w:eastAsia="Times New Roman"/>
          <w:color w:val="000000"/>
          <w:sz w:val="23"/>
        </w:rPr>
      </w:pPr>
      <w:r>
        <w:rPr>
          <w:rFonts w:eastAsia="Times New Roman"/>
          <w:color w:val="000000"/>
          <w:sz w:val="23"/>
        </w:rPr>
        <w:t>Description of the informal resolution process, including the circumstances under which it precludes the parties from resuming a formal complaint arising from the same allegations:</w:t>
      </w:r>
    </w:p>
    <w:p w:rsidR="00060208" w:rsidRPr="005E52AA" w:rsidRDefault="00060208" w:rsidP="00060208">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060208" w:rsidRPr="005E52AA" w:rsidRDefault="00060208" w:rsidP="00060208">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9B265D" w:rsidRPr="005E52AA" w:rsidRDefault="009B265D" w:rsidP="00A442B7">
      <w:pPr>
        <w:spacing w:before="162" w:after="200" w:line="282" w:lineRule="exact"/>
        <w:jc w:val="both"/>
        <w:textAlignment w:val="baseline"/>
        <w:rPr>
          <w:rFonts w:eastAsia="Times New Roman"/>
          <w:color w:val="000000"/>
          <w:sz w:val="23"/>
        </w:rPr>
      </w:pPr>
    </w:p>
    <w:p w:rsidR="009B265D" w:rsidRDefault="009B265D" w:rsidP="00C55816">
      <w:pPr>
        <w:tabs>
          <w:tab w:val="left" w:pos="540"/>
        </w:tabs>
        <w:spacing w:before="162" w:line="282" w:lineRule="exact"/>
        <w:ind w:left="547" w:hanging="547"/>
        <w:jc w:val="both"/>
        <w:textAlignment w:val="baseline"/>
        <w:rPr>
          <w:rFonts w:eastAsia="Times New Roman"/>
          <w:color w:val="000000"/>
          <w:sz w:val="23"/>
        </w:rPr>
      </w:pPr>
      <w:r w:rsidRPr="005E52AA">
        <w:rPr>
          <w:rFonts w:eastAsia="Times New Roman"/>
          <w:color w:val="000000"/>
          <w:sz w:val="32"/>
          <w:szCs w:val="32"/>
        </w:rPr>
        <w:sym w:font="Wingdings 2" w:char="F02A"/>
      </w:r>
      <w:r w:rsidRPr="005E52AA">
        <w:rPr>
          <w:rFonts w:eastAsia="Times New Roman"/>
          <w:color w:val="000000"/>
          <w:sz w:val="23"/>
        </w:rPr>
        <w:tab/>
      </w:r>
      <w:r w:rsidR="00060208">
        <w:rPr>
          <w:rFonts w:eastAsia="Times New Roman"/>
          <w:color w:val="000000"/>
          <w:sz w:val="23"/>
        </w:rPr>
        <w:t>I voluntarily consent to the informal resolution process.</w:t>
      </w:r>
    </w:p>
    <w:p w:rsidR="00060208" w:rsidRDefault="00060208" w:rsidP="00060208">
      <w:pPr>
        <w:tabs>
          <w:tab w:val="left" w:pos="540"/>
        </w:tabs>
        <w:spacing w:before="162" w:line="282" w:lineRule="exact"/>
        <w:ind w:left="547" w:hanging="547"/>
        <w:jc w:val="both"/>
        <w:textAlignment w:val="baseline"/>
        <w:rPr>
          <w:rFonts w:eastAsia="Times New Roman"/>
          <w:color w:val="000000"/>
          <w:sz w:val="23"/>
        </w:rPr>
      </w:pPr>
      <w:r w:rsidRPr="005E52AA">
        <w:rPr>
          <w:rFonts w:eastAsia="Times New Roman"/>
          <w:color w:val="000000"/>
          <w:sz w:val="32"/>
          <w:szCs w:val="32"/>
        </w:rPr>
        <w:sym w:font="Wingdings 2" w:char="F02A"/>
      </w:r>
      <w:r w:rsidRPr="005E52AA">
        <w:rPr>
          <w:rFonts w:eastAsia="Times New Roman"/>
          <w:color w:val="000000"/>
          <w:sz w:val="23"/>
        </w:rPr>
        <w:tab/>
      </w:r>
      <w:r>
        <w:rPr>
          <w:rFonts w:eastAsia="Times New Roman"/>
          <w:color w:val="000000"/>
          <w:sz w:val="23"/>
        </w:rPr>
        <w:t>I do not voluntarily consent to the informal resolution process.</w:t>
      </w:r>
    </w:p>
    <w:p w:rsidR="004C20F2" w:rsidRDefault="004C20F2" w:rsidP="005C7A19">
      <w:pPr>
        <w:tabs>
          <w:tab w:val="right" w:pos="8900"/>
        </w:tabs>
        <w:spacing w:before="164" w:line="272" w:lineRule="exact"/>
        <w:textAlignment w:val="baseline"/>
        <w:rPr>
          <w:rFonts w:eastAsia="Times New Roman"/>
          <w:color w:val="000000"/>
          <w:spacing w:val="-1"/>
          <w:sz w:val="23"/>
          <w:szCs w:val="23"/>
        </w:rPr>
      </w:pPr>
    </w:p>
    <w:p w:rsidR="00F84DE1" w:rsidRDefault="00F84DE1" w:rsidP="005C7A19">
      <w:pPr>
        <w:tabs>
          <w:tab w:val="right" w:pos="8900"/>
        </w:tabs>
        <w:spacing w:before="164" w:line="272" w:lineRule="exact"/>
        <w:textAlignment w:val="baseline"/>
        <w:rPr>
          <w:rFonts w:eastAsia="Times New Roman"/>
          <w:color w:val="000000"/>
          <w:spacing w:val="-1"/>
          <w:sz w:val="23"/>
          <w:szCs w:val="23"/>
        </w:rPr>
      </w:pPr>
      <w:bookmarkStart w:id="0" w:name="_GoBack"/>
      <w:bookmarkEnd w:id="0"/>
    </w:p>
    <w:p w:rsidR="004C20F2" w:rsidRPr="00E1700E" w:rsidRDefault="004C20F2" w:rsidP="004C20F2">
      <w:pPr>
        <w:tabs>
          <w:tab w:val="left" w:pos="540"/>
          <w:tab w:val="right" w:pos="4680"/>
          <w:tab w:val="right" w:pos="8900"/>
        </w:tabs>
        <w:spacing w:before="164" w:after="240" w:line="272" w:lineRule="exact"/>
        <w:textAlignment w:val="baseline"/>
        <w:rPr>
          <w:rFonts w:eastAsia="Times New Roman"/>
          <w:color w:val="000000"/>
          <w:spacing w:val="-1"/>
          <w:sz w:val="23"/>
          <w:szCs w:val="23"/>
        </w:rPr>
      </w:pPr>
      <w:r w:rsidRPr="00E1700E">
        <w:rPr>
          <w:rFonts w:eastAsia="Times New Roman"/>
          <w:color w:val="000000"/>
          <w:spacing w:val="-1"/>
          <w:sz w:val="23"/>
          <w:szCs w:val="23"/>
        </w:rPr>
        <w:t>By:</w:t>
      </w:r>
      <w:r w:rsidRPr="00E1700E">
        <w:rPr>
          <w:rFonts w:eastAsia="Times New Roman"/>
          <w:color w:val="000000"/>
          <w:spacing w:val="-1"/>
          <w:sz w:val="23"/>
          <w:szCs w:val="23"/>
        </w:rPr>
        <w:tab/>
        <w:t>_____________________________________</w:t>
      </w:r>
      <w:r>
        <w:rPr>
          <w:rFonts w:eastAsia="Times New Roman"/>
          <w:color w:val="000000"/>
          <w:spacing w:val="-1"/>
          <w:sz w:val="23"/>
          <w:szCs w:val="23"/>
        </w:rPr>
        <w:br/>
      </w:r>
      <w:r w:rsidR="00F84DE1">
        <w:rPr>
          <w:rFonts w:eastAsia="Times New Roman"/>
          <w:color w:val="000000"/>
          <w:spacing w:val="-1"/>
          <w:sz w:val="23"/>
          <w:szCs w:val="23"/>
        </w:rPr>
        <w:br/>
      </w:r>
      <w:r w:rsidR="00F84DE1">
        <w:rPr>
          <w:rFonts w:eastAsia="Times New Roman"/>
          <w:color w:val="000000"/>
          <w:spacing w:val="-1"/>
          <w:sz w:val="23"/>
          <w:szCs w:val="23"/>
        </w:rPr>
        <w:br/>
      </w:r>
      <w:r w:rsidR="00060208">
        <w:rPr>
          <w:rFonts w:eastAsia="Times New Roman"/>
          <w:color w:val="000000"/>
          <w:spacing w:val="-1"/>
          <w:sz w:val="23"/>
          <w:szCs w:val="23"/>
        </w:rPr>
        <w:t xml:space="preserve">Title IX </w:t>
      </w:r>
      <w:proofErr w:type="gramStart"/>
      <w:r w:rsidR="00060208">
        <w:rPr>
          <w:rFonts w:eastAsia="Times New Roman"/>
          <w:color w:val="000000"/>
          <w:spacing w:val="-1"/>
          <w:sz w:val="23"/>
          <w:szCs w:val="23"/>
        </w:rPr>
        <w:t>Coordinator</w:t>
      </w:r>
      <w:proofErr w:type="gramEnd"/>
      <w:r>
        <w:rPr>
          <w:rFonts w:eastAsia="Times New Roman"/>
          <w:color w:val="000000"/>
          <w:spacing w:val="-1"/>
          <w:sz w:val="23"/>
          <w:szCs w:val="23"/>
        </w:rPr>
        <w:br/>
        <w:t>[insert contact information]</w:t>
      </w:r>
    </w:p>
    <w:p w:rsidR="004C20F2" w:rsidRDefault="004C20F2" w:rsidP="004C20F2">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Enclosure:  Title IX Grievance Process</w:t>
      </w:r>
    </w:p>
    <w:p w:rsidR="004C20F2" w:rsidRDefault="004C20F2" w:rsidP="004C20F2">
      <w:pPr>
        <w:widowControl w:val="0"/>
        <w:tabs>
          <w:tab w:val="right" w:pos="8900"/>
        </w:tabs>
        <w:spacing w:before="169" w:line="272" w:lineRule="exact"/>
        <w:textAlignment w:val="baseline"/>
        <w:sectPr w:rsidR="004C20F2">
          <w:headerReference w:type="default" r:id="rId7"/>
          <w:pgSz w:w="12250" w:h="15840"/>
          <w:pgMar w:top="1700" w:right="1694" w:bottom="604" w:left="1656" w:header="720" w:footer="720" w:gutter="0"/>
          <w:cols w:space="720"/>
        </w:sectPr>
      </w:pPr>
    </w:p>
    <w:p w:rsidR="004C20F2" w:rsidRPr="005E52AA" w:rsidRDefault="004C20F2" w:rsidP="005C7A19">
      <w:pPr>
        <w:tabs>
          <w:tab w:val="right" w:pos="8900"/>
        </w:tabs>
        <w:spacing w:before="164" w:line="272" w:lineRule="exact"/>
        <w:textAlignment w:val="baseline"/>
        <w:rPr>
          <w:rFonts w:eastAsia="Times New Roman"/>
          <w:color w:val="000000"/>
          <w:spacing w:val="-1"/>
          <w:sz w:val="23"/>
          <w:szCs w:val="23"/>
        </w:rPr>
      </w:pPr>
    </w:p>
    <w:sectPr w:rsidR="004C20F2" w:rsidRPr="005E52AA">
      <w:headerReference w:type="default" r:id="rId8"/>
      <w:type w:val="continuous"/>
      <w:pgSz w:w="12250" w:h="15840"/>
      <w:pgMar w:top="1680" w:right="9788" w:bottom="60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B5" w:rsidRDefault="00B120B5" w:rsidP="00B120B5">
      <w:r>
        <w:separator/>
      </w:r>
    </w:p>
  </w:endnote>
  <w:endnote w:type="continuationSeparator" w:id="0">
    <w:p w:rsidR="00B120B5" w:rsidRDefault="00B120B5" w:rsidP="00B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B5" w:rsidRDefault="00B120B5" w:rsidP="00B120B5">
      <w:r>
        <w:separator/>
      </w:r>
    </w:p>
  </w:footnote>
  <w:footnote w:type="continuationSeparator" w:id="0">
    <w:p w:rsidR="00B120B5" w:rsidRDefault="00B120B5" w:rsidP="00B1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2" w:rsidRDefault="004C20F2" w:rsidP="00B120B5">
    <w:pPr>
      <w:pStyle w:val="Header"/>
    </w:pPr>
    <w:r>
      <w:t>TITLE IX GRIEVANCE PROCESS</w:t>
    </w:r>
  </w:p>
  <w:p w:rsidR="004C20F2" w:rsidRDefault="004C20F2" w:rsidP="00B120B5">
    <w:pPr>
      <w:pStyle w:val="Footer"/>
      <w:jc w:val="center"/>
    </w:pPr>
    <w:r>
      <w:t xml:space="preserve">ATTACHMENT </w:t>
    </w:r>
    <w:r w:rsidR="00F84DE1">
      <w:t>I</w:t>
    </w:r>
    <w:r>
      <w:tab/>
    </w:r>
    <w:r>
      <w:tab/>
      <w:t>PAGE</w:t>
    </w:r>
    <w:r w:rsidRPr="00336A8D">
      <w:t xml:space="preserve"> </w:t>
    </w:r>
    <w:r w:rsidRPr="00336A8D">
      <w:rPr>
        <w:szCs w:val="24"/>
      </w:rPr>
      <w:fldChar w:fldCharType="begin"/>
    </w:r>
    <w:r w:rsidRPr="00336A8D">
      <w:instrText xml:space="preserve"> PAGE </w:instrText>
    </w:r>
    <w:r w:rsidRPr="00336A8D">
      <w:rPr>
        <w:szCs w:val="24"/>
      </w:rPr>
      <w:fldChar w:fldCharType="separate"/>
    </w:r>
    <w:r w:rsidR="00F84DE1">
      <w:rPr>
        <w:noProof/>
      </w:rPr>
      <w:t>2</w:t>
    </w:r>
    <w:r w:rsidRPr="00336A8D">
      <w:rPr>
        <w:szCs w:val="24"/>
      </w:rPr>
      <w:fldChar w:fldCharType="end"/>
    </w:r>
    <w:r w:rsidRPr="00336A8D">
      <w:t xml:space="preserve"> </w:t>
    </w:r>
    <w:r>
      <w:t>OF</w:t>
    </w:r>
    <w:r w:rsidRPr="00336A8D">
      <w:t xml:space="preserve"> </w:t>
    </w:r>
    <w:fldSimple w:instr=" NUMPAGES  ">
      <w:r w:rsidR="00F84DE1">
        <w:rPr>
          <w:noProof/>
        </w:rPr>
        <w:t>2</w:t>
      </w:r>
    </w:fldSimple>
  </w:p>
  <w:p w:rsidR="004C20F2" w:rsidRDefault="004C20F2">
    <w:pPr>
      <w:pStyle w:val="Header"/>
    </w:pPr>
  </w:p>
  <w:p w:rsidR="004C20F2" w:rsidRDefault="004C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B5" w:rsidRDefault="00B120B5" w:rsidP="00B120B5">
    <w:pPr>
      <w:pStyle w:val="Header"/>
    </w:pPr>
    <w:r>
      <w:t>TITLE IX GRIEVANCE PROCESS</w:t>
    </w:r>
  </w:p>
  <w:p w:rsidR="00B120B5" w:rsidRDefault="0028290B" w:rsidP="00B120B5">
    <w:pPr>
      <w:pStyle w:val="Footer"/>
      <w:jc w:val="center"/>
    </w:pPr>
    <w:r>
      <w:t xml:space="preserve">ATTACHMENT </w:t>
    </w:r>
    <w:r w:rsidR="00C55816">
      <w:t>I</w:t>
    </w:r>
    <w:r w:rsidR="00B120B5">
      <w:tab/>
    </w:r>
    <w:r w:rsidR="00B120B5">
      <w:tab/>
      <w:t>PAGE</w:t>
    </w:r>
    <w:r w:rsidR="00B120B5" w:rsidRPr="00336A8D">
      <w:t xml:space="preserve"> </w:t>
    </w:r>
    <w:r w:rsidR="00B120B5" w:rsidRPr="00336A8D">
      <w:rPr>
        <w:szCs w:val="24"/>
      </w:rPr>
      <w:fldChar w:fldCharType="begin"/>
    </w:r>
    <w:r w:rsidR="00B120B5" w:rsidRPr="00336A8D">
      <w:instrText xml:space="preserve"> PAGE </w:instrText>
    </w:r>
    <w:r w:rsidR="00B120B5" w:rsidRPr="00336A8D">
      <w:rPr>
        <w:szCs w:val="24"/>
      </w:rPr>
      <w:fldChar w:fldCharType="separate"/>
    </w:r>
    <w:r w:rsidR="00060208">
      <w:rPr>
        <w:noProof/>
      </w:rPr>
      <w:t>3</w:t>
    </w:r>
    <w:r w:rsidR="00B120B5" w:rsidRPr="00336A8D">
      <w:rPr>
        <w:szCs w:val="24"/>
      </w:rPr>
      <w:fldChar w:fldCharType="end"/>
    </w:r>
    <w:r w:rsidR="00B120B5" w:rsidRPr="00336A8D">
      <w:t xml:space="preserve"> </w:t>
    </w:r>
    <w:r w:rsidR="00B120B5">
      <w:t>OF</w:t>
    </w:r>
    <w:r w:rsidR="00B120B5" w:rsidRPr="00336A8D">
      <w:t xml:space="preserve"> </w:t>
    </w:r>
    <w:fldSimple w:instr=" NUMPAGES  ">
      <w:r w:rsidR="00060208">
        <w:rPr>
          <w:noProof/>
        </w:rPr>
        <w:t>2</w:t>
      </w:r>
    </w:fldSimple>
  </w:p>
  <w:p w:rsidR="00B120B5" w:rsidRDefault="00B120B5">
    <w:pPr>
      <w:pStyle w:val="Header"/>
    </w:pPr>
  </w:p>
  <w:p w:rsidR="00B120B5" w:rsidRDefault="00B1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4F3"/>
    <w:multiLevelType w:val="hybridMultilevel"/>
    <w:tmpl w:val="857A2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6B17"/>
    <w:multiLevelType w:val="multilevel"/>
    <w:tmpl w:val="1DF254D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607D3"/>
    <w:multiLevelType w:val="multilevel"/>
    <w:tmpl w:val="ADA06074"/>
    <w:lvl w:ilvl="0">
      <w:start w:val="1"/>
      <w:numFmt w:val="lowerRoman"/>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D7097C"/>
    <w:multiLevelType w:val="multilevel"/>
    <w:tmpl w:val="324AABA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154169"/>
    <w:multiLevelType w:val="multilevel"/>
    <w:tmpl w:val="434C4800"/>
    <w:lvl w:ilvl="0">
      <w:start w:val="1"/>
      <w:numFmt w:val="lowerRoman"/>
      <w:lvlText w:val="%1."/>
      <w:lvlJc w:val="left"/>
      <w:pPr>
        <w:tabs>
          <w:tab w:val="num" w:pos="2088"/>
        </w:tabs>
        <w:ind w:left="1368" w:firstLine="0"/>
      </w:pPr>
      <w:rPr>
        <w:rFonts w:ascii="Times New Roman" w:eastAsia="Times New Roman" w:hAnsi="Times New Roman" w:hint="default"/>
        <w:color w:val="000000"/>
        <w:spacing w:val="-1"/>
        <w:w w:val="100"/>
        <w:sz w:val="23"/>
        <w:vertAlign w:val="baseline"/>
        <w:lang w:val="en-US"/>
      </w:rPr>
    </w:lvl>
    <w:lvl w:ilvl="1">
      <w:numFmt w:val="decimal"/>
      <w:lvlText w:val=""/>
      <w:lvlJc w:val="left"/>
      <w:pPr>
        <w:ind w:left="1368" w:firstLine="0"/>
      </w:pPr>
      <w:rPr>
        <w:rFonts w:hint="default"/>
      </w:rPr>
    </w:lvl>
    <w:lvl w:ilvl="2">
      <w:numFmt w:val="decimal"/>
      <w:lvlText w:val=""/>
      <w:lvlJc w:val="left"/>
      <w:pPr>
        <w:ind w:left="1368" w:firstLine="0"/>
      </w:pPr>
      <w:rPr>
        <w:rFonts w:hint="default"/>
      </w:rPr>
    </w:lvl>
    <w:lvl w:ilvl="3">
      <w:numFmt w:val="decimal"/>
      <w:lvlText w:val=""/>
      <w:lvlJc w:val="left"/>
      <w:pPr>
        <w:ind w:left="1368" w:firstLine="0"/>
      </w:pPr>
      <w:rPr>
        <w:rFonts w:hint="default"/>
      </w:rPr>
    </w:lvl>
    <w:lvl w:ilvl="4">
      <w:numFmt w:val="decimal"/>
      <w:lvlText w:val=""/>
      <w:lvlJc w:val="left"/>
      <w:pPr>
        <w:ind w:left="1368" w:firstLine="0"/>
      </w:pPr>
      <w:rPr>
        <w:rFonts w:hint="default"/>
      </w:rPr>
    </w:lvl>
    <w:lvl w:ilvl="5">
      <w:numFmt w:val="decimal"/>
      <w:lvlText w:val=""/>
      <w:lvlJc w:val="left"/>
      <w:pPr>
        <w:ind w:left="1368" w:firstLine="0"/>
      </w:pPr>
      <w:rPr>
        <w:rFonts w:hint="default"/>
      </w:rPr>
    </w:lvl>
    <w:lvl w:ilvl="6">
      <w:numFmt w:val="decimal"/>
      <w:lvlText w:val=""/>
      <w:lvlJc w:val="left"/>
      <w:pPr>
        <w:ind w:left="1368" w:firstLine="0"/>
      </w:pPr>
      <w:rPr>
        <w:rFonts w:hint="default"/>
      </w:rPr>
    </w:lvl>
    <w:lvl w:ilvl="7">
      <w:numFmt w:val="decimal"/>
      <w:lvlText w:val=""/>
      <w:lvlJc w:val="left"/>
      <w:pPr>
        <w:ind w:left="1368" w:firstLine="0"/>
      </w:pPr>
      <w:rPr>
        <w:rFonts w:hint="default"/>
      </w:rPr>
    </w:lvl>
    <w:lvl w:ilvl="8">
      <w:numFmt w:val="decimal"/>
      <w:lvlText w:val=""/>
      <w:lvlJc w:val="left"/>
      <w:pPr>
        <w:ind w:left="1368" w:firstLine="0"/>
      </w:pPr>
      <w:rPr>
        <w:rFonts w:hint="default"/>
      </w:rPr>
    </w:lvl>
  </w:abstractNum>
  <w:abstractNum w:abstractNumId="5" w15:restartNumberingAfterBreak="0">
    <w:nsid w:val="47582C50"/>
    <w:multiLevelType w:val="hybridMultilevel"/>
    <w:tmpl w:val="881E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733E"/>
    <w:multiLevelType w:val="multilevel"/>
    <w:tmpl w:val="CB200098"/>
    <w:lvl w:ilvl="0">
      <w:start w:val="1"/>
      <w:numFmt w:val="upperLetter"/>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9"/>
    <w:rsid w:val="0004084E"/>
    <w:rsid w:val="00060208"/>
    <w:rsid w:val="000A4754"/>
    <w:rsid w:val="000D6F0E"/>
    <w:rsid w:val="00112585"/>
    <w:rsid w:val="00114B68"/>
    <w:rsid w:val="001A567C"/>
    <w:rsid w:val="0028290B"/>
    <w:rsid w:val="002B029C"/>
    <w:rsid w:val="003C0FC8"/>
    <w:rsid w:val="004C20F2"/>
    <w:rsid w:val="005C7A19"/>
    <w:rsid w:val="005E52AA"/>
    <w:rsid w:val="0064640F"/>
    <w:rsid w:val="007F6FA9"/>
    <w:rsid w:val="009B265D"/>
    <w:rsid w:val="009F1CFB"/>
    <w:rsid w:val="00A442B7"/>
    <w:rsid w:val="00B045A9"/>
    <w:rsid w:val="00B120B5"/>
    <w:rsid w:val="00B464EE"/>
    <w:rsid w:val="00C55816"/>
    <w:rsid w:val="00DC6CA9"/>
    <w:rsid w:val="00E14720"/>
    <w:rsid w:val="00F8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C458"/>
  <w15:docId w15:val="{49059B8C-E51E-48AB-8E17-12CB3CA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B5"/>
    <w:pPr>
      <w:tabs>
        <w:tab w:val="center" w:pos="4680"/>
        <w:tab w:val="right" w:pos="9360"/>
      </w:tabs>
    </w:pPr>
  </w:style>
  <w:style w:type="character" w:customStyle="1" w:styleId="HeaderChar">
    <w:name w:val="Header Char"/>
    <w:basedOn w:val="DefaultParagraphFont"/>
    <w:link w:val="Header"/>
    <w:uiPriority w:val="99"/>
    <w:rsid w:val="00B120B5"/>
  </w:style>
  <w:style w:type="paragraph" w:styleId="Footer">
    <w:name w:val="footer"/>
    <w:basedOn w:val="Normal"/>
    <w:link w:val="FooterChar"/>
    <w:uiPriority w:val="99"/>
    <w:unhideWhenUsed/>
    <w:rsid w:val="00B120B5"/>
    <w:pPr>
      <w:tabs>
        <w:tab w:val="center" w:pos="4680"/>
        <w:tab w:val="right" w:pos="9360"/>
      </w:tabs>
    </w:pPr>
  </w:style>
  <w:style w:type="character" w:customStyle="1" w:styleId="FooterChar">
    <w:name w:val="Footer Char"/>
    <w:basedOn w:val="DefaultParagraphFont"/>
    <w:link w:val="Footer"/>
    <w:uiPriority w:val="99"/>
    <w:rsid w:val="00B120B5"/>
  </w:style>
  <w:style w:type="paragraph" w:styleId="ListParagraph">
    <w:name w:val="List Paragraph"/>
    <w:basedOn w:val="Normal"/>
    <w:uiPriority w:val="34"/>
    <w:qFormat/>
    <w:rsid w:val="00E14720"/>
    <w:pPr>
      <w:ind w:left="720"/>
      <w:contextualSpacing/>
    </w:pPr>
  </w:style>
  <w:style w:type="paragraph" w:styleId="BalloonText">
    <w:name w:val="Balloon Text"/>
    <w:basedOn w:val="Normal"/>
    <w:link w:val="BalloonTextChar"/>
    <w:uiPriority w:val="99"/>
    <w:semiHidden/>
    <w:unhideWhenUsed/>
    <w:rsid w:val="00B4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Palmer</dc:creator>
  <cp:keywords/>
  <dc:description/>
  <cp:lastModifiedBy>Lisa Palmer</cp:lastModifiedBy>
  <cp:revision>3</cp:revision>
  <cp:lastPrinted>2021-05-31T15:24:00Z</cp:lastPrinted>
  <dcterms:created xsi:type="dcterms:W3CDTF">2021-05-31T15:24:00Z</dcterms:created>
  <dcterms:modified xsi:type="dcterms:W3CDTF">2021-05-31T18:19:00Z</dcterms:modified>
</cp:coreProperties>
</file>